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F3D95" w14:textId="44E5631C" w:rsidR="001653BA" w:rsidRDefault="001653BA" w:rsidP="001653BA">
      <w:pPr>
        <w:shd w:val="clear" w:color="auto" w:fill="FFFFFF"/>
        <w:spacing w:before="100" w:beforeAutospacing="1" w:after="100" w:afterAutospacing="1"/>
        <w:rPr>
          <w:rFonts w:ascii="Verdana" w:eastAsia="Times New Roman" w:hAnsi="Verdana" w:cs="Times New Roman"/>
          <w:i/>
          <w:iCs/>
          <w:color w:val="000000"/>
          <w:kern w:val="0"/>
          <w:sz w:val="17"/>
          <w:szCs w:val="17"/>
          <w:lang w:eastAsia="nl-NL"/>
          <w14:ligatures w14:val="none"/>
        </w:rPr>
      </w:pPr>
      <w:r w:rsidRPr="001653BA">
        <w:rPr>
          <w:rFonts w:ascii="Verdana" w:eastAsia="Times New Roman" w:hAnsi="Verdana" w:cs="Times New Roman"/>
          <w:b/>
          <w:bCs/>
          <w:i/>
          <w:iCs/>
          <w:color w:val="EE0000"/>
          <w:kern w:val="0"/>
          <w:sz w:val="17"/>
          <w:szCs w:val="17"/>
          <w:lang w:eastAsia="nl-NL"/>
          <w14:ligatures w14:val="none"/>
        </w:rPr>
        <w:t>MB-86B en MB-86</w:t>
      </w:r>
      <w:r w:rsidRPr="001653BA">
        <w:rPr>
          <w:rFonts w:ascii="Verdana" w:eastAsia="Times New Roman" w:hAnsi="Verdana" w:cs="Times New Roman"/>
          <w:i/>
          <w:iCs/>
          <w:color w:val="000000"/>
          <w:kern w:val="0"/>
          <w:sz w:val="17"/>
          <w:szCs w:val="17"/>
          <w:lang w:eastAsia="nl-NL"/>
          <w14:ligatures w14:val="none"/>
        </w:rPr>
        <w:t xml:space="preserve"> – Fenêtres en aluminium avec ouvrant visible, profondeur structurelle de 80,8 mm, 3 chambres.</w:t>
      </w:r>
    </w:p>
    <w:p w14:paraId="47DC78AB" w14:textId="3F302243"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i/>
          <w:iCs/>
          <w:color w:val="000000"/>
          <w:kern w:val="0"/>
          <w:sz w:val="17"/>
          <w:szCs w:val="17"/>
          <w:lang w:eastAsia="nl-NL"/>
          <w14:ligatures w14:val="none"/>
        </w:rPr>
        <w:t>Description</w:t>
      </w:r>
    </w:p>
    <w:p w14:paraId="74B40D11" w14:textId="0B1877B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Le système MB-86 est conçu pour divers types de fenêtres, portes-fenêtres, vérandas, vitrines et structures spatiales exigeant une isolation thermique et acoustique exceptionnelle, ainsi qu'une étanchéité à l'air et à l'humidité optimale. Les fenêtres, réalisées en profilés d'aluminium, sont installées derrière le cadre de la structure porteuse. Les profilés permettent la pose de vitrages jusqu'à 60 mm d'épaisseur. Profilés de porte : Porte à vantail dissimulé, maximisant la surface vitrée et la luminosité, et offrant une esthétique épurée aux cadres de porte.</w:t>
      </w:r>
      <w:r>
        <w:rPr>
          <w:rFonts w:ascii="Verdana" w:eastAsia="Times New Roman" w:hAnsi="Verdana" w:cs="Times New Roman"/>
          <w:color w:val="000000"/>
          <w:kern w:val="0"/>
          <w:sz w:val="17"/>
          <w:szCs w:val="17"/>
          <w:lang w:eastAsia="nl-NL"/>
          <w14:ligatures w14:val="none"/>
        </w:rPr>
        <w:t xml:space="preserve"> </w:t>
      </w:r>
      <w:r w:rsidRPr="001653BA">
        <w:rPr>
          <w:rFonts w:ascii="Verdana" w:eastAsia="Times New Roman" w:hAnsi="Verdana" w:cs="Times New Roman"/>
          <w:color w:val="000000"/>
          <w:kern w:val="0"/>
          <w:sz w:val="17"/>
          <w:szCs w:val="17"/>
          <w:lang w:eastAsia="nl-NL"/>
          <w14:ligatures w14:val="none"/>
        </w:rPr>
        <w:t>Les caractéristiques techniques du système de portes et fenêtres sont décrites dans l'agrément technique ATG 3081 (pour type B)</w:t>
      </w:r>
    </w:p>
    <w:p w14:paraId="6497D5C6"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 Types de fenêtres :</w:t>
      </w:r>
    </w:p>
    <w:p w14:paraId="2FF0F4DB" w14:textId="77777777" w:rsidR="001653BA" w:rsidRPr="001653BA" w:rsidRDefault="001653BA" w:rsidP="001653BA">
      <w:pPr>
        <w:numPr>
          <w:ilvl w:val="0"/>
          <w:numId w:val="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MB-86B, avec ATG [Uw à partir de 0,8 W/(m².K)]</w:t>
      </w:r>
    </w:p>
    <w:p w14:paraId="49EE4CED" w14:textId="77777777" w:rsidR="001653BA" w:rsidRPr="001653BA" w:rsidRDefault="001653BA" w:rsidP="001653BA">
      <w:pPr>
        <w:numPr>
          <w:ilvl w:val="0"/>
          <w:numId w:val="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 ST [Uf à partir de 1,39 W/(m².K)]</w:t>
      </w:r>
    </w:p>
    <w:p w14:paraId="5609F1FE" w14:textId="77777777" w:rsidR="001653BA" w:rsidRPr="001653BA" w:rsidRDefault="001653BA" w:rsidP="001653BA">
      <w:pPr>
        <w:numPr>
          <w:ilvl w:val="0"/>
          <w:numId w:val="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 SI [Uf à partir de 0,92 W/(m².K)]</w:t>
      </w:r>
    </w:p>
    <w:p w14:paraId="56958B91" w14:textId="77777777" w:rsidR="001653BA" w:rsidRPr="001653BA" w:rsidRDefault="001653BA" w:rsidP="001653BA">
      <w:pPr>
        <w:numPr>
          <w:ilvl w:val="0"/>
          <w:numId w:val="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 Aero [Uf à partir de 0,57 W/(m².K)]</w:t>
      </w:r>
    </w:p>
    <w:p w14:paraId="421821E7"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 Types de portes :</w:t>
      </w:r>
    </w:p>
    <w:p w14:paraId="32D967CC" w14:textId="77777777" w:rsidR="001653BA" w:rsidRPr="001653BA" w:rsidRDefault="001653BA" w:rsidP="001653BA">
      <w:pPr>
        <w:numPr>
          <w:ilvl w:val="0"/>
          <w:numId w:val="2"/>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MB-86US ST - avec chambre centrale vide dans les profilés composites.</w:t>
      </w:r>
    </w:p>
    <w:p w14:paraId="596FBE85" w14:textId="77777777" w:rsidR="001653BA" w:rsidRPr="001653BA" w:rsidRDefault="001653BA" w:rsidP="001653BA">
      <w:pPr>
        <w:numPr>
          <w:ilvl w:val="0"/>
          <w:numId w:val="2"/>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MB-86US SI - avec rupture de pont thermique dans la chambre centrale des profilés composites.</w:t>
      </w:r>
    </w:p>
    <w:p w14:paraId="2EECE41C" w14:textId="77777777" w:rsidR="001653BA" w:rsidRPr="001653BA" w:rsidRDefault="001653BA" w:rsidP="001653BA">
      <w:pPr>
        <w:numPr>
          <w:ilvl w:val="0"/>
          <w:numId w:val="2"/>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MB-86US Aero - avec un insert thermique spécial dans la chambre centrale des profilés composites.</w:t>
      </w:r>
    </w:p>
    <w:p w14:paraId="50F7E04F"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i/>
          <w:iCs/>
          <w:color w:val="000000"/>
          <w:kern w:val="0"/>
          <w:sz w:val="17"/>
          <w:szCs w:val="17"/>
          <w:lang w:eastAsia="nl-NL"/>
          <w14:ligatures w14:val="none"/>
        </w:rPr>
        <w:t>Matériaux :</w:t>
      </w:r>
    </w:p>
    <w:p w14:paraId="5065243E" w14:textId="16E3A4CA" w:rsidR="001653BA" w:rsidRPr="001653BA" w:rsidRDefault="001653BA" w:rsidP="001653BA">
      <w:pPr>
        <w:numPr>
          <w:ilvl w:val="0"/>
          <w:numId w:val="3"/>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Matériau de base</w:t>
      </w:r>
      <w:r>
        <w:rPr>
          <w:rFonts w:ascii="Verdana" w:eastAsia="Times New Roman" w:hAnsi="Verdana" w:cs="Times New Roman"/>
          <w:color w:val="000000"/>
          <w:kern w:val="0"/>
          <w:sz w:val="17"/>
          <w:szCs w:val="17"/>
          <w:lang w:eastAsia="nl-NL"/>
          <w14:ligatures w14:val="none"/>
        </w:rPr>
        <w:t xml:space="preserve"> </w:t>
      </w:r>
      <w:r w:rsidRPr="001653BA">
        <w:rPr>
          <w:rFonts w:ascii="Verdana" w:eastAsia="Times New Roman" w:hAnsi="Verdana" w:cs="Times New Roman"/>
          <w:color w:val="000000"/>
          <w:kern w:val="0"/>
          <w:sz w:val="17"/>
          <w:szCs w:val="17"/>
          <w:lang w:eastAsia="nl-NL"/>
          <w14:ligatures w14:val="none"/>
        </w:rPr>
        <w:t>: aluminium 100 % recyclable.</w:t>
      </w:r>
    </w:p>
    <w:p w14:paraId="532C4DCB" w14:textId="77777777" w:rsidR="001653BA" w:rsidRPr="001653BA" w:rsidRDefault="001653BA" w:rsidP="001653BA">
      <w:pPr>
        <w:numPr>
          <w:ilvl w:val="0"/>
          <w:numId w:val="3"/>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Isolant thermique : polyamide renforcé à 25 % de fibres de verre. Matériau du joint d'étanchéité : EPDM flexible (selon TV 221)</w:t>
      </w:r>
    </w:p>
    <w:p w14:paraId="65B13478" w14:textId="77777777" w:rsidR="001653BA" w:rsidRPr="001653BA" w:rsidRDefault="001653BA" w:rsidP="001653BA">
      <w:pPr>
        <w:numPr>
          <w:ilvl w:val="0"/>
          <w:numId w:val="3"/>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Couleur du joint d'étanchéité : gris ou noir</w:t>
      </w:r>
    </w:p>
    <w:p w14:paraId="5A36C39F" w14:textId="77777777" w:rsidR="001653BA" w:rsidRPr="001653BA" w:rsidRDefault="001653BA" w:rsidP="001653BA">
      <w:pPr>
        <w:numPr>
          <w:ilvl w:val="0"/>
          <w:numId w:val="3"/>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Traitement de surface : revêtement en poudre ou anodisation</w:t>
      </w:r>
    </w:p>
    <w:p w14:paraId="01FB9769"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i/>
          <w:iCs/>
          <w:color w:val="000000"/>
          <w:kern w:val="0"/>
          <w:sz w:val="17"/>
          <w:szCs w:val="17"/>
          <w:lang w:eastAsia="nl-NL"/>
          <w14:ligatures w14:val="none"/>
        </w:rPr>
        <w:t>Dimensions des fenêtres :</w:t>
      </w:r>
    </w:p>
    <w:p w14:paraId="2BEC5928" w14:textId="77777777" w:rsidR="001653BA" w:rsidRPr="001653BA" w:rsidRDefault="001653BA" w:rsidP="001653BA">
      <w:pPr>
        <w:shd w:val="clear" w:color="auto" w:fill="FFFFFF"/>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 ST : châssis en aluminium avec chambre centrale vide dans les profilés composés.</w:t>
      </w:r>
    </w:p>
    <w:p w14:paraId="25252E59" w14:textId="77777777" w:rsidR="001653BA" w:rsidRPr="001653BA" w:rsidRDefault="001653BA" w:rsidP="001653BA">
      <w:pPr>
        <w:shd w:val="clear" w:color="auto" w:fill="FFFFFF"/>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 SI : châssis en aluminium avec rupture de pont thermique dans la chambre centrale des profilés composés.</w:t>
      </w:r>
    </w:p>
    <w:p w14:paraId="1E6FDC82" w14:textId="77777777" w:rsidR="001653BA" w:rsidRPr="001653BA" w:rsidRDefault="001653BA" w:rsidP="001653BA">
      <w:pPr>
        <w:shd w:val="clear" w:color="auto" w:fill="FFFFFF"/>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 Aero : châssis en aluminium avec insert thermique spécial dans la chambre centrale des profilés composés.</w:t>
      </w:r>
    </w:p>
    <w:p w14:paraId="446B2857" w14:textId="77777777" w:rsidR="001653BA" w:rsidRPr="001653BA" w:rsidRDefault="001653BA" w:rsidP="001653BA">
      <w:pPr>
        <w:numPr>
          <w:ilvl w:val="0"/>
          <w:numId w:val="4"/>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Profondeur de construction : 86 mm (à battant), 77 mm (à cadre fixe).</w:t>
      </w:r>
    </w:p>
    <w:p w14:paraId="5DF76586" w14:textId="77777777" w:rsidR="001653BA" w:rsidRPr="001653BA" w:rsidRDefault="001653BA" w:rsidP="001653BA">
      <w:pPr>
        <w:numPr>
          <w:ilvl w:val="0"/>
          <w:numId w:val="4"/>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Épaisseur du vitrage : 21 à 70,5 mm (à battant), 13,5 à 61,5 mm (à cadre fixe).</w:t>
      </w:r>
    </w:p>
    <w:p w14:paraId="76FEB04D" w14:textId="77777777" w:rsidR="001653BA" w:rsidRPr="001653BA" w:rsidRDefault="001653BA" w:rsidP="001653BA">
      <w:pPr>
        <w:numPr>
          <w:ilvl w:val="0"/>
          <w:numId w:val="4"/>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Dimensions maximales de l'ouvrant : hauteur jusqu'à 2 800 mm, longueur jusqu'à 1 700 mm.</w:t>
      </w:r>
    </w:p>
    <w:p w14:paraId="23BE6605" w14:textId="77777777" w:rsidR="001653BA" w:rsidRPr="001653BA" w:rsidRDefault="001653BA" w:rsidP="001653BA">
      <w:pPr>
        <w:numPr>
          <w:ilvl w:val="0"/>
          <w:numId w:val="4"/>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Poids maximal de l'ouvrant : 150 kg (160 kg pour une fenêtre oscillo-battante).</w:t>
      </w:r>
    </w:p>
    <w:p w14:paraId="5A5CA4CF"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MB-86B : châssis en aluminium avec rupture de pont thermique dans la chambre centrale des profilés composites, avec ATG.</w:t>
      </w:r>
    </w:p>
    <w:p w14:paraId="2F2B6E9E" w14:textId="77777777" w:rsidR="001653BA" w:rsidRPr="001653BA" w:rsidRDefault="001653BA" w:rsidP="001653BA">
      <w:pPr>
        <w:numPr>
          <w:ilvl w:val="0"/>
          <w:numId w:val="5"/>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Profondeur : 86 mm (à battant), 77 mm (fixe).</w:t>
      </w:r>
    </w:p>
    <w:p w14:paraId="303F7FF0" w14:textId="77777777" w:rsidR="001653BA" w:rsidRPr="001653BA" w:rsidRDefault="001653BA" w:rsidP="001653BA">
      <w:pPr>
        <w:numPr>
          <w:ilvl w:val="0"/>
          <w:numId w:val="5"/>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Épaisseur du vitrage : 21-70,5 mm (à battant), 13-61 mm (fixe).</w:t>
      </w:r>
    </w:p>
    <w:p w14:paraId="0F1BDA2E" w14:textId="77777777" w:rsidR="001653BA" w:rsidRPr="001653BA" w:rsidRDefault="001653BA" w:rsidP="001653BA">
      <w:pPr>
        <w:numPr>
          <w:ilvl w:val="0"/>
          <w:numId w:val="5"/>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Dimensions maximales du battant : H jusqu’à 2 500 mm, L jusqu’à 1 500 mm.</w:t>
      </w:r>
    </w:p>
    <w:p w14:paraId="3A8DCED5" w14:textId="77777777" w:rsidR="001653BA" w:rsidRPr="001653BA" w:rsidRDefault="001653BA" w:rsidP="001653BA">
      <w:pPr>
        <w:numPr>
          <w:ilvl w:val="0"/>
          <w:numId w:val="5"/>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Poids maximal du battant : 150 kg.</w:t>
      </w:r>
    </w:p>
    <w:p w14:paraId="6D449D17"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i/>
          <w:iCs/>
          <w:color w:val="000000"/>
          <w:kern w:val="0"/>
          <w:sz w:val="17"/>
          <w:szCs w:val="17"/>
          <w:lang w:eastAsia="nl-NL"/>
          <w14:ligatures w14:val="none"/>
        </w:rPr>
        <w:t>Dimensions des portes :</w:t>
      </w:r>
    </w:p>
    <w:p w14:paraId="7C4B61C7"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Portes en aluminium MB-86US ST avec chambre centrale vide dans les profilés composites.</w:t>
      </w:r>
    </w:p>
    <w:p w14:paraId="72F31B2E"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lastRenderedPageBreak/>
        <w:t>Portes en aluminium MB-86US SI avec rupture de pont thermique dans la chambre centrale des profilés composites.</w:t>
      </w:r>
    </w:p>
    <w:p w14:paraId="7366B8B5"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Portes en aluminium MB-86US Aero avec insert thermique spécial dans la chambre centrale des profilés composites.</w:t>
      </w:r>
    </w:p>
    <w:p w14:paraId="46C8E17A" w14:textId="77777777" w:rsidR="001653BA" w:rsidRPr="001653BA" w:rsidRDefault="001653BA" w:rsidP="001653BA">
      <w:pPr>
        <w:numPr>
          <w:ilvl w:val="0"/>
          <w:numId w:val="6"/>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Profondeur : 77 mm (à battant), 77 mm (fixe).</w:t>
      </w:r>
    </w:p>
    <w:p w14:paraId="237EEA8D" w14:textId="77777777" w:rsidR="001653BA" w:rsidRPr="001653BA" w:rsidRDefault="001653BA" w:rsidP="001653BA">
      <w:pPr>
        <w:numPr>
          <w:ilvl w:val="0"/>
          <w:numId w:val="6"/>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Épaisseur du vitrage : 13,5-61,5 mm (fixe). Dimensions maximales du vantail : Hauteur jusqu’à 3 000 mm, Longueur jusqu’à 1 400 mm.</w:t>
      </w:r>
    </w:p>
    <w:p w14:paraId="56F8E5E8" w14:textId="77777777" w:rsidR="001653BA" w:rsidRPr="001653BA" w:rsidRDefault="001653BA" w:rsidP="001653BA">
      <w:pPr>
        <w:numPr>
          <w:ilvl w:val="0"/>
          <w:numId w:val="6"/>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Poids maximal du vantail : 200 kg.</w:t>
      </w:r>
    </w:p>
    <w:p w14:paraId="2598E873"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Cadre en aluminium MB-86B avec rupture de pont thermique dans la chambre centrale des profilés composites, avec ATG.</w:t>
      </w:r>
    </w:p>
    <w:p w14:paraId="761A3E38" w14:textId="77777777" w:rsidR="001653BA" w:rsidRPr="001653BA" w:rsidRDefault="001653BA" w:rsidP="001653BA">
      <w:pPr>
        <w:numPr>
          <w:ilvl w:val="0"/>
          <w:numId w:val="7"/>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Profondeur de construction : 77 mm (vantail), 77 mm (cadre).</w:t>
      </w:r>
    </w:p>
    <w:p w14:paraId="67D1DE41" w14:textId="77777777" w:rsidR="001653BA" w:rsidRPr="001653BA" w:rsidRDefault="001653BA" w:rsidP="001653BA">
      <w:pPr>
        <w:numPr>
          <w:ilvl w:val="0"/>
          <w:numId w:val="7"/>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Épaisseur du vitrage : 13 à 61 mm (cadre fixe).</w:t>
      </w:r>
    </w:p>
    <w:p w14:paraId="794863D0" w14:textId="77777777" w:rsidR="001653BA" w:rsidRPr="001653BA" w:rsidRDefault="001653BA" w:rsidP="001653BA">
      <w:pPr>
        <w:numPr>
          <w:ilvl w:val="0"/>
          <w:numId w:val="7"/>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Dimensions maximales du vantail : Hauteur jusqu’à 2 600 mm, Longueur jusqu’à 1 400 mm.</w:t>
      </w:r>
    </w:p>
    <w:p w14:paraId="692A1A98" w14:textId="77777777" w:rsidR="001653BA" w:rsidRPr="001653BA" w:rsidRDefault="001653BA" w:rsidP="001653BA">
      <w:pPr>
        <w:numPr>
          <w:ilvl w:val="0"/>
          <w:numId w:val="7"/>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Poids maximal du vantail : 160 kg.</w:t>
      </w:r>
    </w:p>
    <w:p w14:paraId="0F4B38FA"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i/>
          <w:iCs/>
          <w:color w:val="000000"/>
          <w:kern w:val="0"/>
          <w:sz w:val="17"/>
          <w:szCs w:val="17"/>
          <w:lang w:eastAsia="nl-NL"/>
          <w14:ligatures w14:val="none"/>
        </w:rPr>
        <w:t>Résistance mécanique et stabilité</w:t>
      </w:r>
      <w:r w:rsidRPr="001653BA">
        <w:rPr>
          <w:rFonts w:ascii="Verdana" w:eastAsia="Times New Roman" w:hAnsi="Verdana" w:cs="Times New Roman"/>
          <w:color w:val="000000"/>
          <w:kern w:val="0"/>
          <w:sz w:val="17"/>
          <w:szCs w:val="17"/>
          <w:lang w:eastAsia="nl-NL"/>
          <w14:ligatures w14:val="none"/>
        </w:rPr>
        <w:t> :</w:t>
      </w:r>
    </w:p>
    <w:p w14:paraId="53D576AE" w14:textId="77777777" w:rsidR="001653BA" w:rsidRPr="001653BA" w:rsidRDefault="001653BA" w:rsidP="001653BA">
      <w:pPr>
        <w:numPr>
          <w:ilvl w:val="0"/>
          <w:numId w:val="8"/>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Résistance à la charge du vent (STS 52:2005) : Classe C5 ou C4 [pour MB-86B] (NBN EN 12210:2001 + /AC:2002)</w:t>
      </w:r>
    </w:p>
    <w:p w14:paraId="3F36E354"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i/>
          <w:iCs/>
          <w:color w:val="000000"/>
          <w:kern w:val="0"/>
          <w:sz w:val="17"/>
          <w:szCs w:val="17"/>
          <w:lang w:eastAsia="nl-NL"/>
          <w14:ligatures w14:val="none"/>
        </w:rPr>
        <w:t>Hygiène, santé et environnement :</w:t>
      </w:r>
    </w:p>
    <w:p w14:paraId="37BBD97E" w14:textId="77777777" w:rsidR="001653BA" w:rsidRPr="001653BA" w:rsidRDefault="001653BA" w:rsidP="001653BA">
      <w:pPr>
        <w:numPr>
          <w:ilvl w:val="0"/>
          <w:numId w:val="9"/>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Étanchéité des fenêtres (STS 52:2005) : Classe E (1500 Pa) (NBN EN 12208:2001)</w:t>
      </w:r>
    </w:p>
    <w:p w14:paraId="3C9397A8" w14:textId="77777777" w:rsidR="001653BA" w:rsidRPr="001653BA" w:rsidRDefault="001653BA" w:rsidP="001653BA">
      <w:pPr>
        <w:numPr>
          <w:ilvl w:val="0"/>
          <w:numId w:val="9"/>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Perméabilité à l'air des fenêtres (STS 52:2005) : Classe 4 (NBN EN 12208:2001)</w:t>
      </w:r>
    </w:p>
    <w:p w14:paraId="052DDC8E" w14:textId="77777777" w:rsidR="001653BA" w:rsidRPr="001653BA" w:rsidRDefault="001653BA" w:rsidP="001653BA">
      <w:pPr>
        <w:numPr>
          <w:ilvl w:val="0"/>
          <w:numId w:val="9"/>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Étanchéité des portes (STS 52:2005) : Classe 5A (200 Pa) (NBN EN 12208:2001)</w:t>
      </w:r>
    </w:p>
    <w:p w14:paraId="4B72E2DE" w14:textId="77777777" w:rsidR="001653BA" w:rsidRPr="001653BA" w:rsidRDefault="001653BA" w:rsidP="001653BA">
      <w:pPr>
        <w:numPr>
          <w:ilvl w:val="0"/>
          <w:numId w:val="9"/>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Perméabilité à l'air des portes (STS 52:2005) : Classe 3 (NBN EN 12208:2001)</w:t>
      </w:r>
    </w:p>
    <w:p w14:paraId="117629BB"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Sécurité :</w:t>
      </w:r>
    </w:p>
    <w:p w14:paraId="7D2B9E8E" w14:textId="77777777" w:rsidR="001653BA" w:rsidRPr="001653BA" w:rsidRDefault="001653BA" w:rsidP="001653BA">
      <w:pPr>
        <w:numPr>
          <w:ilvl w:val="0"/>
          <w:numId w:val="10"/>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Résistance à l'effraction : Jusqu'à la classe RC3</w:t>
      </w:r>
    </w:p>
    <w:p w14:paraId="0D6EB390"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Économies d'énergie et isolation thermique :</w:t>
      </w:r>
    </w:p>
    <w:p w14:paraId="6AEB4618"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Coefficient de transmission thermique des fenêtres :</w:t>
      </w:r>
    </w:p>
    <w:p w14:paraId="5EECFC0E" w14:textId="77777777" w:rsidR="001653BA" w:rsidRPr="001653BA" w:rsidRDefault="001653BA" w:rsidP="001653BA">
      <w:pPr>
        <w:numPr>
          <w:ilvl w:val="0"/>
          <w:numId w:val="1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Uw = à partir de 0,80 W/(m².K) [MB-86B] avec ATG</w:t>
      </w:r>
    </w:p>
    <w:p w14:paraId="448E9029" w14:textId="77777777" w:rsidR="001653BA" w:rsidRPr="001653BA" w:rsidRDefault="001653BA" w:rsidP="001653BA">
      <w:pPr>
        <w:numPr>
          <w:ilvl w:val="0"/>
          <w:numId w:val="1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Uf = à partir de 1,03 W/(m².K) [MB-86 ST] avec chambre centrale vide</w:t>
      </w:r>
    </w:p>
    <w:p w14:paraId="2C3D3E07" w14:textId="77777777" w:rsidR="001653BA" w:rsidRPr="001653BA" w:rsidRDefault="001653BA" w:rsidP="001653BA">
      <w:pPr>
        <w:numPr>
          <w:ilvl w:val="0"/>
          <w:numId w:val="1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Uf = à partir de 1,01 W/(m².K) [MB-86 SI] avec rupture de pont thermique dans la chambre centrale</w:t>
      </w:r>
    </w:p>
    <w:p w14:paraId="448150CF" w14:textId="77777777" w:rsidR="001653BA" w:rsidRPr="001653BA" w:rsidRDefault="001653BA" w:rsidP="001653BA">
      <w:pPr>
        <w:numPr>
          <w:ilvl w:val="0"/>
          <w:numId w:val="11"/>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Uf = à partir de 0,86 W/(m².K) [MB-86 Aero] avec un isolant thermique spécial dans la chambre centrale</w:t>
      </w:r>
    </w:p>
    <w:p w14:paraId="3005ECDE" w14:textId="77777777" w:rsidR="001653BA" w:rsidRPr="001653BA" w:rsidRDefault="001653BA" w:rsidP="001653BA">
      <w:p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Coefficient de transmission thermique des portes :</w:t>
      </w:r>
    </w:p>
    <w:p w14:paraId="6E5CC80D" w14:textId="77777777" w:rsidR="001653BA" w:rsidRPr="001653BA" w:rsidRDefault="001653BA" w:rsidP="001653BA">
      <w:pPr>
        <w:numPr>
          <w:ilvl w:val="0"/>
          <w:numId w:val="12"/>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Ud = à partir de 1,10 W/(m².K) [MB-86B] avec ATG</w:t>
      </w:r>
    </w:p>
    <w:p w14:paraId="78739EE5" w14:textId="77777777" w:rsidR="001653BA" w:rsidRPr="001653BA" w:rsidRDefault="001653BA" w:rsidP="001653BA">
      <w:pPr>
        <w:numPr>
          <w:ilvl w:val="0"/>
          <w:numId w:val="12"/>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Uf = à partir de 2,16 W/(m².K) [MB-86 ST] avec chambre centrale vide</w:t>
      </w:r>
    </w:p>
    <w:p w14:paraId="06A3A0EB" w14:textId="77777777" w:rsidR="001653BA" w:rsidRPr="001653BA" w:rsidRDefault="001653BA" w:rsidP="001653BA">
      <w:pPr>
        <w:numPr>
          <w:ilvl w:val="0"/>
          <w:numId w:val="12"/>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Uf = à partir de 1,76 W/(m².K) [MB-86 SI] avec rupture de pont thermique dans la chambre centrale</w:t>
      </w:r>
    </w:p>
    <w:p w14:paraId="4E61163C" w14:textId="77777777" w:rsidR="001653BA" w:rsidRPr="001653BA" w:rsidRDefault="001653BA" w:rsidP="001653BA">
      <w:pPr>
        <w:numPr>
          <w:ilvl w:val="0"/>
          <w:numId w:val="12"/>
        </w:numPr>
        <w:shd w:val="clear" w:color="auto" w:fill="FFFFFF"/>
        <w:spacing w:before="100" w:beforeAutospacing="1" w:after="100" w:afterAutospacing="1"/>
        <w:rPr>
          <w:rFonts w:ascii="Verdana" w:eastAsia="Times New Roman" w:hAnsi="Verdana" w:cs="Times New Roman"/>
          <w:color w:val="000000"/>
          <w:kern w:val="0"/>
          <w:sz w:val="17"/>
          <w:szCs w:val="17"/>
          <w:lang w:eastAsia="nl-NL"/>
          <w14:ligatures w14:val="none"/>
        </w:rPr>
      </w:pPr>
      <w:r w:rsidRPr="001653BA">
        <w:rPr>
          <w:rFonts w:ascii="Verdana" w:eastAsia="Times New Roman" w:hAnsi="Verdana" w:cs="Times New Roman"/>
          <w:color w:val="000000"/>
          <w:kern w:val="0"/>
          <w:sz w:val="17"/>
          <w:szCs w:val="17"/>
          <w:lang w:eastAsia="nl-NL"/>
          <w14:ligatures w14:val="none"/>
        </w:rPr>
        <w:t>Uf = à partir de 1,22 W/(m².K) [MB-86 Aero] avec un matériau de remplissage thermique spécial</w:t>
      </w:r>
    </w:p>
    <w:p w14:paraId="4A1A7D9E" w14:textId="77777777" w:rsidR="00443DA5" w:rsidRDefault="00443DA5"/>
    <w:sectPr w:rsidR="00443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6841"/>
    <w:multiLevelType w:val="multilevel"/>
    <w:tmpl w:val="9CDC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63166"/>
    <w:multiLevelType w:val="multilevel"/>
    <w:tmpl w:val="C0029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A0716"/>
    <w:multiLevelType w:val="multilevel"/>
    <w:tmpl w:val="1A8CD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425559"/>
    <w:multiLevelType w:val="multilevel"/>
    <w:tmpl w:val="F5F4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CE0C6A"/>
    <w:multiLevelType w:val="multilevel"/>
    <w:tmpl w:val="FAA4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C09B7"/>
    <w:multiLevelType w:val="multilevel"/>
    <w:tmpl w:val="CC2C3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167"/>
    <w:multiLevelType w:val="multilevel"/>
    <w:tmpl w:val="C0540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D767E0"/>
    <w:multiLevelType w:val="multilevel"/>
    <w:tmpl w:val="6D782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51EC6"/>
    <w:multiLevelType w:val="multilevel"/>
    <w:tmpl w:val="92E04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1F3BBA"/>
    <w:multiLevelType w:val="multilevel"/>
    <w:tmpl w:val="1108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1F6182"/>
    <w:multiLevelType w:val="multilevel"/>
    <w:tmpl w:val="EB6AE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0678B"/>
    <w:multiLevelType w:val="multilevel"/>
    <w:tmpl w:val="FD16F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661529">
    <w:abstractNumId w:val="1"/>
  </w:num>
  <w:num w:numId="2" w16cid:durableId="1068654980">
    <w:abstractNumId w:val="8"/>
  </w:num>
  <w:num w:numId="3" w16cid:durableId="2057730439">
    <w:abstractNumId w:val="7"/>
  </w:num>
  <w:num w:numId="4" w16cid:durableId="1905488772">
    <w:abstractNumId w:val="11"/>
  </w:num>
  <w:num w:numId="5" w16cid:durableId="2087872222">
    <w:abstractNumId w:val="10"/>
  </w:num>
  <w:num w:numId="6" w16cid:durableId="1833717585">
    <w:abstractNumId w:val="5"/>
  </w:num>
  <w:num w:numId="7" w16cid:durableId="574780915">
    <w:abstractNumId w:val="4"/>
  </w:num>
  <w:num w:numId="8" w16cid:durableId="470709290">
    <w:abstractNumId w:val="6"/>
  </w:num>
  <w:num w:numId="9" w16cid:durableId="1070346180">
    <w:abstractNumId w:val="9"/>
  </w:num>
  <w:num w:numId="10" w16cid:durableId="1333529573">
    <w:abstractNumId w:val="3"/>
  </w:num>
  <w:num w:numId="11" w16cid:durableId="617835577">
    <w:abstractNumId w:val="0"/>
  </w:num>
  <w:num w:numId="12" w16cid:durableId="19947977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BA"/>
    <w:rsid w:val="00094DC6"/>
    <w:rsid w:val="001653BA"/>
    <w:rsid w:val="00443DA5"/>
    <w:rsid w:val="005C006B"/>
    <w:rsid w:val="007C563E"/>
    <w:rsid w:val="008A39EC"/>
    <w:rsid w:val="008C4408"/>
    <w:rsid w:val="00C672F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E99B2"/>
  <w15:chartTrackingRefBased/>
  <w15:docId w15:val="{E6A2F9D9-C248-624F-8B76-CE765CDF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653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653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653B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653B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653B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653B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653B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653B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653B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81">
    <w:name w:val="8.1"/>
    <w:basedOn w:val="Standaard"/>
    <w:qFormat/>
    <w:rsid w:val="00C672FC"/>
    <w:pPr>
      <w:tabs>
        <w:tab w:val="left" w:pos="851"/>
      </w:tabs>
      <w:spacing w:before="20" w:after="40"/>
      <w:ind w:left="851" w:hanging="284"/>
      <w:jc w:val="both"/>
    </w:pPr>
    <w:rPr>
      <w:rFonts w:ascii="Arial" w:eastAsia="Times New Roman" w:hAnsi="Arial" w:cs="Arial"/>
      <w:kern w:val="0"/>
      <w:sz w:val="18"/>
      <w:szCs w:val="18"/>
      <w:lang w:eastAsia="nl-NL"/>
      <w14:ligatures w14:val="none"/>
    </w:rPr>
  </w:style>
  <w:style w:type="character" w:customStyle="1" w:styleId="Kop1Char">
    <w:name w:val="Kop 1 Char"/>
    <w:basedOn w:val="Standaardalinea-lettertype"/>
    <w:link w:val="Kop1"/>
    <w:uiPriority w:val="9"/>
    <w:rsid w:val="001653B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653B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653B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653B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653B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653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653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653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653BA"/>
    <w:rPr>
      <w:rFonts w:eastAsiaTheme="majorEastAsia" w:cstheme="majorBidi"/>
      <w:color w:val="272727" w:themeColor="text1" w:themeTint="D8"/>
    </w:rPr>
  </w:style>
  <w:style w:type="paragraph" w:styleId="Titel">
    <w:name w:val="Title"/>
    <w:basedOn w:val="Standaard"/>
    <w:next w:val="Standaard"/>
    <w:link w:val="TitelChar"/>
    <w:uiPriority w:val="10"/>
    <w:qFormat/>
    <w:rsid w:val="001653B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653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653B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653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653B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653BA"/>
    <w:rPr>
      <w:i/>
      <w:iCs/>
      <w:color w:val="404040" w:themeColor="text1" w:themeTint="BF"/>
    </w:rPr>
  </w:style>
  <w:style w:type="paragraph" w:styleId="Lijstalinea">
    <w:name w:val="List Paragraph"/>
    <w:basedOn w:val="Standaard"/>
    <w:uiPriority w:val="34"/>
    <w:qFormat/>
    <w:rsid w:val="001653BA"/>
    <w:pPr>
      <w:ind w:left="720"/>
      <w:contextualSpacing/>
    </w:pPr>
  </w:style>
  <w:style w:type="character" w:styleId="Intensievebenadrukking">
    <w:name w:val="Intense Emphasis"/>
    <w:basedOn w:val="Standaardalinea-lettertype"/>
    <w:uiPriority w:val="21"/>
    <w:qFormat/>
    <w:rsid w:val="001653BA"/>
    <w:rPr>
      <w:i/>
      <w:iCs/>
      <w:color w:val="0F4761" w:themeColor="accent1" w:themeShade="BF"/>
    </w:rPr>
  </w:style>
  <w:style w:type="paragraph" w:styleId="Duidelijkcitaat">
    <w:name w:val="Intense Quote"/>
    <w:basedOn w:val="Standaard"/>
    <w:next w:val="Standaard"/>
    <w:link w:val="DuidelijkcitaatChar"/>
    <w:uiPriority w:val="30"/>
    <w:qFormat/>
    <w:rsid w:val="001653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653BA"/>
    <w:rPr>
      <w:i/>
      <w:iCs/>
      <w:color w:val="0F4761" w:themeColor="accent1" w:themeShade="BF"/>
    </w:rPr>
  </w:style>
  <w:style w:type="character" w:styleId="Intensieveverwijzing">
    <w:name w:val="Intense Reference"/>
    <w:basedOn w:val="Standaardalinea-lettertype"/>
    <w:uiPriority w:val="32"/>
    <w:qFormat/>
    <w:rsid w:val="001653BA"/>
    <w:rPr>
      <w:b/>
      <w:bCs/>
      <w:smallCaps/>
      <w:color w:val="0F4761" w:themeColor="accent1" w:themeShade="BF"/>
      <w:spacing w:val="5"/>
    </w:rPr>
  </w:style>
  <w:style w:type="paragraph" w:styleId="Normaalweb">
    <w:name w:val="Normal (Web)"/>
    <w:basedOn w:val="Standaard"/>
    <w:uiPriority w:val="99"/>
    <w:semiHidden/>
    <w:unhideWhenUsed/>
    <w:rsid w:val="001653BA"/>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1653BA"/>
    <w:rPr>
      <w:i/>
      <w:iCs/>
    </w:rPr>
  </w:style>
  <w:style w:type="character" w:customStyle="1" w:styleId="apple-converted-space">
    <w:name w:val="apple-converted-space"/>
    <w:basedOn w:val="Standaardalinea-lettertype"/>
    <w:rsid w:val="0016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b35c36742d664d0aa0947edc6c33bb8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7c6ea604cbb15a1e0bbd7dfc254d53bd"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FEE0A-726D-443C-B026-47AB8D1D801B}"/>
</file>

<file path=customXml/itemProps2.xml><?xml version="1.0" encoding="utf-8"?>
<ds:datastoreItem xmlns:ds="http://schemas.openxmlformats.org/officeDocument/2006/customXml" ds:itemID="{815189CA-AB83-401C-9CA4-F1B507FB8166}"/>
</file>

<file path=customXml/itemProps3.xml><?xml version="1.0" encoding="utf-8"?>
<ds:datastoreItem xmlns:ds="http://schemas.openxmlformats.org/officeDocument/2006/customXml" ds:itemID="{346C27AE-B26B-41A8-9D80-B7A789B8C282}"/>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4065</Characters>
  <Application>Microsoft Office Word</Application>
  <DocSecurity>0</DocSecurity>
  <Lines>33</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Yves Van Vaerenbergh</dc:creator>
  <cp:keywords/>
  <dc:description/>
  <cp:lastModifiedBy>Yves Van Vaerenbergh</cp:lastModifiedBy>
  <cp:revision>1</cp:revision>
  <dcterms:created xsi:type="dcterms:W3CDTF">2026-01-29T13:08:00Z</dcterms:created>
  <dcterms:modified xsi:type="dcterms:W3CDTF">2026-01-29T13:12:00Z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ies>
</file>